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firstLine="1"/>
        <w:jc w:val="both"/>
        <w:rPr>
          <w:rFonts w:ascii="Arial" w:cs="Arial" w:eastAsia="Arial" w:hAnsi="Arial"/>
          <w:b w:val="1"/>
          <w:sz w:val="34"/>
          <w:szCs w:val="34"/>
        </w:rPr>
      </w:pPr>
      <w:bookmarkStart w:colFirst="0" w:colLast="0" w:name="_heading=h.38k8yinzb316" w:id="0"/>
      <w:bookmarkEnd w:id="0"/>
      <w:r w:rsidDel="00000000" w:rsidR="00000000" w:rsidRPr="00000000">
        <w:rPr>
          <w:rFonts w:ascii="Arial" w:cs="Arial" w:eastAsia="Arial" w:hAnsi="Arial"/>
          <w:b w:val="1"/>
          <w:sz w:val="34"/>
          <w:szCs w:val="34"/>
          <w:rtl w:val="0"/>
        </w:rPr>
        <w:t xml:space="preserve">Subsecretaría de Coordinación y Logística Operativa.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838200</wp:posOffset>
                </wp:positionV>
                <wp:extent cx="5885815" cy="579088"/>
                <wp:effectExtent b="0" l="0" r="0" t="0"/>
                <wp:wrapTopAndBottom distB="0" distT="0"/>
                <wp:docPr id="4" name=""/>
                <a:graphic>
                  <a:graphicData uri="http://schemas.microsoft.com/office/word/2010/wordprocessingGroup">
                    <wpg:wgp>
                      <wpg:cNvGrpSpPr/>
                      <wpg:grpSpPr>
                        <a:xfrm>
                          <a:off x="2403075" y="3510425"/>
                          <a:ext cx="5885815" cy="579088"/>
                          <a:chOff x="2403075" y="3510425"/>
                          <a:chExt cx="5885850" cy="539150"/>
                        </a:xfrm>
                      </wpg:grpSpPr>
                      <wpg:grpSp>
                        <wpg:cNvGrpSpPr/>
                        <wpg:grpSpPr>
                          <a:xfrm>
                            <a:off x="2403093" y="3510443"/>
                            <a:ext cx="5885815" cy="539115"/>
                            <a:chOff x="2402913" y="3510124"/>
                            <a:chExt cx="5886175" cy="539762"/>
                          </a:xfrm>
                        </wpg:grpSpPr>
                        <wps:wsp>
                          <wps:cNvSpPr/>
                          <wps:cNvPr id="3" name="Shape 3"/>
                          <wps:spPr>
                            <a:xfrm>
                              <a:off x="2402913" y="3510124"/>
                              <a:ext cx="5886175" cy="539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02913" y="3510124"/>
                              <a:ext cx="5886175" cy="539762"/>
                              <a:chOff x="2311653" y="3594580"/>
                              <a:chExt cx="6068695" cy="401298"/>
                            </a:xfrm>
                          </wpg:grpSpPr>
                          <wps:wsp>
                            <wps:cNvSpPr/>
                            <wps:cNvPr id="5" name="Shape 5"/>
                            <wps:spPr>
                              <a:xfrm>
                                <a:off x="2311653" y="3594580"/>
                                <a:ext cx="6068675" cy="40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068695" cy="401298"/>
                                <a:chOff x="0" y="0"/>
                                <a:chExt cx="6068695" cy="401298"/>
                              </a:xfrm>
                            </wpg:grpSpPr>
                            <wps:wsp>
                              <wps:cNvSpPr/>
                              <wps:cNvPr id="7" name="Shape 7"/>
                              <wps:spPr>
                                <a:xfrm>
                                  <a:off x="0" y="0"/>
                                  <a:ext cx="6068675" cy="370825"/>
                                </a:xfrm>
                                <a:prstGeom prst="rect">
                                  <a:avLst/>
                                </a:prstGeom>
                                <a:noFill/>
                                <a:ln>
                                  <a:noFill/>
                                </a:ln>
                              </wps:spPr>
                              <wps:txbx>
                                <w:txbxContent>
                                  <w:p w:rsidR="00000000" w:rsidDel="00000000" w:rsidP="00000000" w:rsidRDefault="00000000" w:rsidRPr="00000000">
                                    <w:pPr>
                                      <w:spacing w:after="200" w:before="0" w:line="360"/>
                                      <w:ind w:left="0" w:right="0" w:firstLine="0"/>
                                      <w:jc w:val="both"/>
                                      <w:textDirection w:val="btLr"/>
                                    </w:pPr>
                                    <w:r w:rsidDel="00000000" w:rsidR="00000000" w:rsidRPr="00000000">
                                      <w:rPr>
                                        <w:rFonts w:ascii="Calibri" w:cs="Calibri" w:eastAsia="Calibri" w:hAnsi="Calibri"/>
                                        <w:b w:val="0"/>
                                        <w:i w:val="0"/>
                                        <w:smallCaps w:val="0"/>
                                        <w:strike w:val="0"/>
                                        <w:color w:val="000000"/>
                                        <w:sz w:val="22"/>
                                        <w:u w:val="single"/>
                                        <w:vertAlign w:val="baseline"/>
                                      </w:rPr>
                                      <w:t xml:space="preserve">Curso sobre género, familia y la violencia como modo de relación</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ctr" bIns="91425" lIns="91425" spcFirstLastPara="1" rIns="91425" wrap="square" tIns="91425">
                                <a:noAutofit/>
                              </wps:bodyPr>
                            </wps:wsp>
                            <wps:wsp>
                              <wps:cNvSpPr/>
                              <wps:cNvPr id="8" name="Shape 8"/>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9" name="Shape 9"/>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10" name="Shape 10"/>
                              <wps:spPr>
                                <a:xfrm>
                                  <a:off x="80600" y="42498"/>
                                  <a:ext cx="5988051" cy="358800"/>
                                </a:xfrm>
                                <a:prstGeom prst="rect">
                                  <a:avLst/>
                                </a:prstGeom>
                                <a:noFill/>
                                <a:ln>
                                  <a:noFill/>
                                </a:ln>
                              </wps:spPr>
                              <wps:txbx>
                                <w:txbxContent>
                                  <w:p w:rsidR="00000000" w:rsidDel="00000000" w:rsidP="00000000" w:rsidRDefault="00000000" w:rsidRPr="00000000">
                                    <w:pPr>
                                      <w:spacing w:after="0" w:before="160" w:line="240"/>
                                      <w:ind w:left="27.000000476837158" w:right="0" w:firstLine="54.000000953674316"/>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Curso de formación de perros detectores.</w:t>
                                    </w:r>
                                  </w:p>
                                </w:txbxContent>
                              </wps:txbx>
                              <wps:bodyPr anchorCtr="0" anchor="t" bIns="0" lIns="0" spcFirstLastPara="1" rIns="0" wrap="square" tIns="0">
                                <a:noAutofit/>
                              </wps:bodyPr>
                            </wps:w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838200</wp:posOffset>
                </wp:positionV>
                <wp:extent cx="5885815" cy="579088"/>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85815" cy="579088"/>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firstLine="1"/>
        <w:jc w:val="both"/>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3">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4">
      <w:pPr>
        <w:spacing w:line="360" w:lineRule="auto"/>
        <w:ind w:hanging="2"/>
        <w:jc w:val="both"/>
        <w:rPr>
          <w:rFonts w:ascii="Arial" w:cs="Arial" w:eastAsia="Arial" w:hAnsi="Arial"/>
        </w:rPr>
      </w:pPr>
      <w:r w:rsidDel="00000000" w:rsidR="00000000" w:rsidRPr="00000000">
        <w:rPr>
          <w:rFonts w:ascii="Arial" w:cs="Arial" w:eastAsia="Arial" w:hAnsi="Arial"/>
          <w:rtl w:val="0"/>
        </w:rPr>
        <w:t xml:space="preserve">La Dirección Cinotécnia perteneciente a la Subsecretaría</w:t>
      </w:r>
      <w:r w:rsidDel="00000000" w:rsidR="00000000" w:rsidRPr="00000000">
        <w:rPr>
          <w:rFonts w:ascii="Arial" w:cs="Arial" w:eastAsia="Arial" w:hAnsi="Arial"/>
          <w:color w:val="000000"/>
          <w:rtl w:val="0"/>
        </w:rPr>
        <w:t xml:space="preserve"> de Coordinación y Logística Operativa de</w:t>
      </w:r>
      <w:r w:rsidDel="00000000" w:rsidR="00000000" w:rsidRPr="00000000">
        <w:rPr>
          <w:rFonts w:ascii="Arial" w:cs="Arial" w:eastAsia="Arial" w:hAnsi="Arial"/>
          <w:rtl w:val="0"/>
        </w:rPr>
        <w:t xml:space="preserve">l Ministerio de Seguridad propone la capacitación en el marco del trabajo de formación de canes detectores que viene realizando esta Dirección para las distintas secciones caninas que posee las policías de la provincia de Buenos Aires (Canes detectores de explosivos, acelerantes del fuego, sustancias ilícitas, restos humanos), con la intención  de brindar a los manejadores una formación minuciosa en aspectos y saberes técnicos.</w:t>
      </w:r>
    </w:p>
    <w:p w:rsidR="00000000" w:rsidDel="00000000" w:rsidP="00000000" w:rsidRDefault="00000000" w:rsidRPr="00000000" w14:paraId="00000005">
      <w:pPr>
        <w:pStyle w:val="Heading1"/>
        <w:spacing w:line="36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Fonts w:ascii="Arial" w:cs="Arial" w:eastAsia="Arial" w:hAnsi="Arial"/>
          <w:rtl w:val="0"/>
        </w:rPr>
        <w:t xml:space="preserve">Funcionarios policiales que hayan aprobado el Curso básico en Cinotécnia.</w:t>
      </w:r>
    </w:p>
    <w:p w:rsidR="00000000" w:rsidDel="00000000" w:rsidP="00000000" w:rsidRDefault="00000000" w:rsidRPr="00000000" w14:paraId="00000008">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color w:val="000000"/>
          <w:rtl w:val="0"/>
        </w:rPr>
        <w:t xml:space="preserve">presencial</w:t>
      </w:r>
      <w:r w:rsidDel="00000000" w:rsidR="00000000" w:rsidRPr="00000000">
        <w:rPr>
          <w:rFonts w:ascii="Arial" w:cs="Arial" w:eastAsia="Arial" w:hAnsi="Arial"/>
          <w:rtl w:val="0"/>
        </w:rPr>
        <w:t xml:space="preserve">.</w:t>
      </w:r>
    </w:p>
    <w:p w:rsidR="00000000" w:rsidDel="00000000" w:rsidP="00000000" w:rsidRDefault="00000000" w:rsidRPr="00000000" w14:paraId="0000000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rPr>
      </w:pPr>
      <w:r w:rsidDel="00000000" w:rsidR="00000000" w:rsidRPr="00000000">
        <w:rPr>
          <w:rFonts w:ascii="Arial" w:cs="Arial" w:eastAsia="Arial" w:hAnsi="Arial"/>
          <w:b w:val="1"/>
          <w:rtl w:val="0"/>
        </w:rPr>
        <w:t xml:space="preserve">Carga horaria:</w:t>
      </w:r>
      <w:r w:rsidDel="00000000" w:rsidR="00000000" w:rsidRPr="00000000">
        <w:rPr>
          <w:rFonts w:ascii="Arial" w:cs="Arial" w:eastAsia="Arial" w:hAnsi="Arial"/>
          <w:color w:val="000000"/>
          <w:rtl w:val="0"/>
        </w:rPr>
        <w:t xml:space="preserve"> 40 horas reloj</w:t>
      </w:r>
      <w:r w:rsidDel="00000000" w:rsidR="00000000" w:rsidRPr="00000000">
        <w:rPr>
          <w:rFonts w:ascii="Arial" w:cs="Arial" w:eastAsia="Arial" w:hAnsi="Arial"/>
          <w:rtl w:val="0"/>
        </w:rPr>
        <w:t xml:space="preserve">.</w:t>
      </w:r>
    </w:p>
    <w:p w:rsidR="00000000" w:rsidDel="00000000" w:rsidP="00000000" w:rsidRDefault="00000000" w:rsidRPr="00000000" w14:paraId="0000000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pStyle w:val="Heading1"/>
        <w:spacing w:line="360" w:lineRule="auto"/>
        <w:ind w:left="0" w:firstLine="0"/>
        <w:jc w:val="both"/>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Se prevén 1 ediciones.</w:t>
      </w:r>
      <w:r w:rsidDel="00000000" w:rsidR="00000000" w:rsidRPr="00000000">
        <w:rPr>
          <w:rFonts w:ascii="Arial" w:cs="Arial" w:eastAsia="Arial" w:hAnsi="Arial"/>
          <w:b w:val="0"/>
          <w:rtl w:val="0"/>
        </w:rPr>
        <w:t xml:space="preserve"> </w:t>
      </w:r>
      <w:r w:rsidDel="00000000" w:rsidR="00000000" w:rsidRPr="00000000">
        <w:rPr>
          <w:rtl w:val="0"/>
        </w:rPr>
      </w:r>
    </w:p>
    <w:p w:rsidR="00000000" w:rsidDel="00000000" w:rsidP="00000000" w:rsidRDefault="00000000" w:rsidRPr="00000000" w14:paraId="0000000E">
      <w:pPr>
        <w:pStyle w:val="Heading1"/>
        <w:spacing w:line="360"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F">
      <w:pPr>
        <w:spacing w:line="360" w:lineRule="auto"/>
        <w:ind w:hanging="2"/>
        <w:jc w:val="both"/>
        <w:rPr>
          <w:rFonts w:ascii="Arial" w:cs="Arial" w:eastAsia="Arial" w:hAnsi="Arial"/>
        </w:rPr>
      </w:pPr>
      <w:r w:rsidDel="00000000" w:rsidR="00000000" w:rsidRPr="00000000">
        <w:rPr>
          <w:rFonts w:ascii="Arial" w:cs="Arial" w:eastAsia="Arial" w:hAnsi="Arial"/>
          <w:b w:val="1"/>
          <w:rtl w:val="0"/>
        </w:rPr>
        <w:t xml:space="preserve">Fecha de inicio y finalización</w:t>
      </w:r>
      <w:r w:rsidDel="00000000" w:rsidR="00000000" w:rsidRPr="00000000">
        <w:rPr>
          <w:rFonts w:ascii="Arial" w:cs="Arial" w:eastAsia="Arial" w:hAnsi="Arial"/>
          <w:rtl w:val="0"/>
        </w:rPr>
        <w:t xml:space="preserve">:</w:t>
      </w:r>
      <w:r w:rsidDel="00000000" w:rsidR="00000000" w:rsidRPr="00000000">
        <w:rPr>
          <w:rtl w:val="0"/>
        </w:rPr>
        <w:t xml:space="preserve"> </w:t>
      </w:r>
      <w:r w:rsidDel="00000000" w:rsidR="00000000" w:rsidRPr="00000000">
        <w:rPr>
          <w:rFonts w:ascii="Arial" w:cs="Arial" w:eastAsia="Arial" w:hAnsi="Arial"/>
          <w:rtl w:val="0"/>
        </w:rPr>
        <w:t xml:space="preserve">Fecha de inicio y finalización: 10/9/2025 al 29/10/2025 (cursada día miércoles).</w:t>
      </w:r>
    </w:p>
    <w:p w:rsidR="00000000" w:rsidDel="00000000" w:rsidP="00000000" w:rsidRDefault="00000000" w:rsidRPr="00000000" w14:paraId="00000010">
      <w:pPr>
        <w:spacing w:line="36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color w:val="000000"/>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color w:val="000000"/>
          <w:rtl w:val="0"/>
        </w:rPr>
        <w:t xml:space="preserve">20 asistentes. </w:t>
      </w:r>
    </w:p>
    <w:p w:rsidR="00000000" w:rsidDel="00000000" w:rsidP="00000000" w:rsidRDefault="00000000" w:rsidRPr="00000000" w14:paraId="0000001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pStyle w:val="Heading1"/>
        <w:spacing w:line="360" w:lineRule="auto"/>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2" w:line="360" w:lineRule="auto"/>
        <w:ind w:left="425.19685039370086"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Teléfono institucional: 2214914892</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2" w:line="360" w:lineRule="auto"/>
        <w:ind w:left="425.19685039370086"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Correo electrónico: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direccioncinotecnia@mseg.gba.gov.ar</w:t>
        </w:r>
      </w:hyperlink>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highlight w:val="white"/>
        </w:rPr>
      </w:pPr>
      <w:r w:rsidDel="00000000" w:rsidR="00000000" w:rsidRPr="00000000">
        <w:rPr>
          <w:rtl w:val="0"/>
        </w:rPr>
      </w:r>
    </w:p>
    <w:sectPr>
      <w:pgSz w:h="16840" w:w="11910" w:orient="portrait"/>
      <w:pgMar w:bottom="1417" w:top="1417" w:left="1701" w:right="1701"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25.19685039370086"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qFormat w:val="1"/>
    <w:rPr>
      <w:lang w:eastAsia="en-US"/>
    </w:rPr>
  </w:style>
  <w:style w:type="paragraph" w:styleId="Ttulo1">
    <w:name w:val="heading 1"/>
    <w:basedOn w:val="Normal"/>
    <w:uiPriority w:val="9"/>
    <w:qFormat w:val="1"/>
    <w:pPr>
      <w:ind w:left="143"/>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pacing w:before="17"/>
      <w:ind w:left="143"/>
    </w:pPr>
    <w:rPr>
      <w:sz w:val="34"/>
      <w:szCs w:val="34"/>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val="1"/>
    <w:rsid w:val="00C71223"/>
    <w:pPr>
      <w:tabs>
        <w:tab w:val="center" w:pos="4252"/>
        <w:tab w:val="right" w:pos="8504"/>
      </w:tabs>
    </w:pPr>
  </w:style>
  <w:style w:type="character" w:styleId="EncabezadoCar" w:customStyle="1">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val="1"/>
    <w:rsid w:val="00C71223"/>
    <w:pPr>
      <w:tabs>
        <w:tab w:val="center" w:pos="4252"/>
        <w:tab w:val="right" w:pos="8504"/>
      </w:tabs>
    </w:pPr>
  </w:style>
  <w:style w:type="character" w:styleId="PiedepginaCar" w:customStyle="1">
    <w:name w:val="Pie de página Car"/>
    <w:basedOn w:val="Fuentedeprrafopredeter"/>
    <w:link w:val="Piedepgina"/>
    <w:uiPriority w:val="99"/>
    <w:rsid w:val="00C71223"/>
    <w:rPr>
      <w:lang w:eastAsia="en-US"/>
    </w:rPr>
  </w:style>
  <w:style w:type="character" w:styleId="UnresolvedMention" w:customStyle="1">
    <w:name w:val="Unresolved Mention"/>
    <w:basedOn w:val="Fuentedeprrafopredeter"/>
    <w:uiPriority w:val="99"/>
    <w:semiHidden w:val="1"/>
    <w:unhideWhenUsed w:val="1"/>
    <w:rsid w:val="005D5E7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direccioncinotecnia@mseg.gba.gov.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TeCGW6PJO9r/u9tYxPhUBsX9cA==">CgMxLjAyDmguMzhrOHlpbnpiMzE2OAByITFUbDZvQkFXRGFFSnFtekdlVzR5akNJN0x6c3FLYTlQQg==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2025-05-05T20:37:00Z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